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6628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7EED6629" w14:textId="77777777" w:rsidR="004C046E" w:rsidRPr="004C046E" w:rsidRDefault="00B178EA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</w:t>
      </w:r>
      <w:r w:rsidR="00986096">
        <w:t>monitor</w:t>
      </w:r>
      <w:r w:rsidR="00A1249D">
        <w:t xml:space="preserve"> an IRB meeting</w:t>
      </w:r>
      <w:r w:rsidR="00986096">
        <w:t xml:space="preserve"> for quorum and expertise</w:t>
      </w:r>
      <w:r w:rsidR="004C046E" w:rsidRPr="004C046E">
        <w:t>.</w:t>
      </w:r>
    </w:p>
    <w:p w14:paraId="7EED662A" w14:textId="77777777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A1249D">
        <w:t xml:space="preserve">the meeting </w:t>
      </w:r>
      <w:r w:rsidR="008C5C39">
        <w:t>is called to order</w:t>
      </w:r>
      <w:r w:rsidRPr="004C046E">
        <w:t>.</w:t>
      </w:r>
    </w:p>
    <w:p w14:paraId="7EED662B" w14:textId="77777777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A1249D">
        <w:t xml:space="preserve">the meeting </w:t>
      </w:r>
      <w:r w:rsidR="008C5C39">
        <w:t>is adjourned</w:t>
      </w:r>
      <w:r w:rsidRPr="004C046E">
        <w:t>.</w:t>
      </w:r>
    </w:p>
    <w:p w14:paraId="7EED662C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7EED662D" w14:textId="77777777" w:rsidR="00A1249D" w:rsidRPr="00A1249D" w:rsidRDefault="00A1249D" w:rsidP="00A1249D">
      <w:pPr>
        <w:pStyle w:val="SOPLevel2"/>
      </w:pPr>
      <w:r>
        <w:t>None</w:t>
      </w:r>
    </w:p>
    <w:p w14:paraId="7EED662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7EED662F" w14:textId="56A2DBAE" w:rsidR="008C5C39" w:rsidRDefault="00F27A1F" w:rsidP="004C046E">
      <w:pPr>
        <w:pStyle w:val="SOPLevel2"/>
      </w:pPr>
      <w:r>
        <w:t>HRPP staff</w:t>
      </w:r>
      <w:r w:rsidR="00402C2E">
        <w:t xml:space="preserve"> members</w:t>
      </w:r>
      <w:r w:rsidR="00986096">
        <w:t xml:space="preserve"> carry out these procedures</w:t>
      </w:r>
      <w:r w:rsidR="008C5C39">
        <w:t>.</w:t>
      </w:r>
    </w:p>
    <w:p w14:paraId="7EED6630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EED6631" w14:textId="3D0CA35B" w:rsidR="00986096" w:rsidRDefault="00986096" w:rsidP="00986096">
      <w:pPr>
        <w:pStyle w:val="SOPLevel2"/>
        <w:rPr>
          <w:rStyle w:val="SOPDefault"/>
        </w:rPr>
      </w:pPr>
      <w:r>
        <w:rPr>
          <w:rStyle w:val="SOPDefault"/>
        </w:rPr>
        <w:t xml:space="preserve">Use </w:t>
      </w:r>
      <w:r w:rsidR="00653685">
        <w:rPr>
          <w:rStyle w:val="SOPDefault"/>
        </w:rPr>
        <w:t>“</w:t>
      </w:r>
      <w:r w:rsidRPr="00986096">
        <w:rPr>
          <w:rStyle w:val="SOPDefault"/>
        </w:rPr>
        <w:t>WORKSHEET: Quorum (HRP-</w:t>
      </w:r>
      <w:r>
        <w:rPr>
          <w:rStyle w:val="SOPDefault"/>
        </w:rPr>
        <w:t>431)</w:t>
      </w:r>
      <w:r w:rsidR="00653685">
        <w:rPr>
          <w:rStyle w:val="SOPDefault"/>
        </w:rPr>
        <w:t>”</w:t>
      </w:r>
      <w:r w:rsidRPr="00986096">
        <w:rPr>
          <w:rStyle w:val="SOPDefault"/>
        </w:rPr>
        <w:t xml:space="preserve"> to determine </w:t>
      </w:r>
      <w:r>
        <w:rPr>
          <w:rStyle w:val="SOPDefault"/>
        </w:rPr>
        <w:t>whether</w:t>
      </w:r>
      <w:r w:rsidRPr="00986096">
        <w:rPr>
          <w:rStyle w:val="SOPDefault"/>
        </w:rPr>
        <w:t xml:space="preserve"> the meeting is appropriately convened</w:t>
      </w:r>
      <w:r>
        <w:rPr>
          <w:rStyle w:val="SOPDefault"/>
        </w:rPr>
        <w:t>:</w:t>
      </w:r>
    </w:p>
    <w:p w14:paraId="7EED6632" w14:textId="77777777" w:rsidR="00986096" w:rsidRDefault="00986096" w:rsidP="00986096">
      <w:pPr>
        <w:pStyle w:val="SOPLevel3"/>
        <w:rPr>
          <w:rStyle w:val="SOPDefault"/>
        </w:rPr>
      </w:pPr>
      <w:r>
        <w:rPr>
          <w:rStyle w:val="SOPDefault"/>
        </w:rPr>
        <w:t>Before the meeting is called to order</w:t>
      </w:r>
    </w:p>
    <w:p w14:paraId="7EED6633" w14:textId="77777777" w:rsidR="00986096" w:rsidRDefault="00986096" w:rsidP="00986096">
      <w:pPr>
        <w:pStyle w:val="SOPLevel3"/>
        <w:rPr>
          <w:rStyle w:val="SOPDefault"/>
        </w:rPr>
      </w:pPr>
      <w:r>
        <w:rPr>
          <w:rStyle w:val="SOPDefault"/>
        </w:rPr>
        <w:t xml:space="preserve">Before each </w:t>
      </w:r>
      <w:r w:rsidR="007146DF">
        <w:rPr>
          <w:rStyle w:val="SOPDefault"/>
        </w:rPr>
        <w:t>study</w:t>
      </w:r>
      <w:r>
        <w:rPr>
          <w:rStyle w:val="SOPDefault"/>
        </w:rPr>
        <w:t xml:space="preserve"> </w:t>
      </w:r>
      <w:r w:rsidR="00046BF4">
        <w:rPr>
          <w:rStyle w:val="SOPDefault"/>
        </w:rPr>
        <w:t xml:space="preserve">with special quorum requirements </w:t>
      </w:r>
      <w:r>
        <w:rPr>
          <w:rStyle w:val="SOPDefault"/>
        </w:rPr>
        <w:t>is reviewed</w:t>
      </w:r>
    </w:p>
    <w:p w14:paraId="7EED6634" w14:textId="77777777" w:rsidR="00986096" w:rsidRDefault="00986096" w:rsidP="00986096">
      <w:pPr>
        <w:pStyle w:val="SOPLevel3"/>
        <w:rPr>
          <w:rStyle w:val="SOPDefault"/>
        </w:rPr>
      </w:pPr>
      <w:r>
        <w:rPr>
          <w:rStyle w:val="SOPDefault"/>
        </w:rPr>
        <w:t>When members leave the meeting for any reason</w:t>
      </w:r>
    </w:p>
    <w:p w14:paraId="6C955A24" w14:textId="580C5211" w:rsidR="00F10037" w:rsidRPr="00A1249D" w:rsidRDefault="00F10037" w:rsidP="00F10037">
      <w:pPr>
        <w:pStyle w:val="SOPLevel2"/>
      </w:pPr>
      <w:r>
        <w:t>When evaluating quorum do not count IRB members with a Conflicting Interest.</w:t>
      </w:r>
    </w:p>
    <w:p w14:paraId="7EED6635" w14:textId="23641F95" w:rsidR="008C5C39" w:rsidRPr="008C5C39" w:rsidRDefault="00986096" w:rsidP="00986096">
      <w:pPr>
        <w:pStyle w:val="SOPLevel2"/>
        <w:rPr>
          <w:rStyle w:val="SOPDefault"/>
        </w:rPr>
      </w:pPr>
      <w:r>
        <w:rPr>
          <w:rStyle w:val="SOPDefault"/>
        </w:rPr>
        <w:t>N</w:t>
      </w:r>
      <w:r w:rsidRPr="00986096">
        <w:rPr>
          <w:rStyle w:val="SOPDefault"/>
        </w:rPr>
        <w:t xml:space="preserve">otify the </w:t>
      </w:r>
      <w:bookmarkStart w:id="0" w:name="_GoBack"/>
      <w:bookmarkEnd w:id="0"/>
      <w:r w:rsidR="00EA6F31">
        <w:rPr>
          <w:rStyle w:val="SOPDefault"/>
        </w:rPr>
        <w:t>Meeting Chair</w:t>
      </w:r>
      <w:r>
        <w:rPr>
          <w:rStyle w:val="SOPDefault"/>
        </w:rPr>
        <w:t xml:space="preserve"> </w:t>
      </w:r>
      <w:r w:rsidRPr="00986096">
        <w:rPr>
          <w:rStyle w:val="SOPDefault"/>
        </w:rPr>
        <w:t xml:space="preserve">when </w:t>
      </w:r>
      <w:r>
        <w:rPr>
          <w:rStyle w:val="SOPDefault"/>
        </w:rPr>
        <w:t>quorum requirements are not met</w:t>
      </w:r>
      <w:r w:rsidRPr="00986096">
        <w:rPr>
          <w:rStyle w:val="SOPDefault"/>
        </w:rPr>
        <w:t>.</w:t>
      </w:r>
    </w:p>
    <w:p w14:paraId="7EED663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7EED6637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9BEEA" w14:textId="77777777" w:rsidR="00DB1951" w:rsidRDefault="00DB1951" w:rsidP="0093159B">
      <w:pPr>
        <w:spacing w:after="0" w:line="240" w:lineRule="auto"/>
      </w:pPr>
      <w:r>
        <w:separator/>
      </w:r>
    </w:p>
  </w:endnote>
  <w:endnote w:type="continuationSeparator" w:id="0">
    <w:p w14:paraId="6D15FA9A" w14:textId="77777777" w:rsidR="00DB1951" w:rsidRDefault="00DB1951" w:rsidP="0093159B">
      <w:pPr>
        <w:spacing w:after="0" w:line="240" w:lineRule="auto"/>
      </w:pPr>
      <w:r>
        <w:continuationSeparator/>
      </w:r>
    </w:p>
  </w:endnote>
  <w:endnote w:type="continuationNotice" w:id="1">
    <w:p w14:paraId="38944A92" w14:textId="77777777" w:rsidR="00DB1951" w:rsidRDefault="00DB1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6651" w14:textId="38A80B5C" w:rsidR="00F10037" w:rsidRPr="00CA2935" w:rsidRDefault="004B6F40" w:rsidP="00CA2935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A912E" w14:textId="77777777" w:rsidR="00DB1951" w:rsidRDefault="00DB1951" w:rsidP="0093159B">
      <w:pPr>
        <w:spacing w:after="0" w:line="240" w:lineRule="auto"/>
      </w:pPr>
      <w:r>
        <w:separator/>
      </w:r>
    </w:p>
  </w:footnote>
  <w:footnote w:type="continuationSeparator" w:id="0">
    <w:p w14:paraId="21276958" w14:textId="77777777" w:rsidR="00DB1951" w:rsidRDefault="00DB1951" w:rsidP="0093159B">
      <w:pPr>
        <w:spacing w:after="0" w:line="240" w:lineRule="auto"/>
      </w:pPr>
      <w:r>
        <w:continuationSeparator/>
      </w:r>
    </w:p>
  </w:footnote>
  <w:footnote w:type="continuationNotice" w:id="1">
    <w:p w14:paraId="46D83F1B" w14:textId="77777777" w:rsidR="00DB1951" w:rsidRDefault="00DB19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F10037" w:rsidRPr="007C285F" w14:paraId="7EED663F" w14:textId="77777777" w:rsidTr="00587CB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EED663D" w14:textId="769B2731" w:rsidR="00F10037" w:rsidRPr="007C285F" w:rsidRDefault="004B6F40" w:rsidP="007C285F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5052C867" wp14:editId="59ED10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D663E" w14:textId="77777777" w:rsidR="00F10037" w:rsidRPr="007C285F" w:rsidRDefault="00F10037" w:rsidP="007C285F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C285F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C285F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C285F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4B6F40">
            <w:rPr>
              <w:rFonts w:ascii="Arial" w:hAnsi="Arial" w:cs="Arial"/>
              <w:b/>
              <w:bCs/>
              <w:sz w:val="28"/>
              <w:szCs w:val="28"/>
            </w:rPr>
            <w:t>SOP: Committee Review Monitoring</w:t>
          </w:r>
          <w:r w:rsidRPr="007C285F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F10037" w:rsidRPr="007C285F" w14:paraId="7EED6645" w14:textId="77777777" w:rsidTr="00587CBE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EED6640" w14:textId="77777777" w:rsidR="00F10037" w:rsidRPr="007C285F" w:rsidRDefault="00F10037" w:rsidP="007C285F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EED6641" w14:textId="77777777" w:rsidR="00F10037" w:rsidRPr="007C285F" w:rsidRDefault="00F10037" w:rsidP="0094013C">
          <w:pPr>
            <w:pStyle w:val="SOPTableHeader"/>
          </w:pPr>
          <w:r w:rsidRPr="007C285F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EED6642" w14:textId="77777777" w:rsidR="00F10037" w:rsidRPr="007C285F" w:rsidRDefault="00F10037" w:rsidP="0094013C">
          <w:pPr>
            <w:pStyle w:val="SOPTableHeader"/>
          </w:pPr>
          <w:r w:rsidRPr="007C285F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EED6643" w14:textId="77777777" w:rsidR="00F10037" w:rsidRPr="007C285F" w:rsidRDefault="00F10037" w:rsidP="0094013C">
          <w:pPr>
            <w:pStyle w:val="SOPTableHeader"/>
          </w:pPr>
          <w:r w:rsidRPr="007C285F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EED6644" w14:textId="77777777" w:rsidR="00F10037" w:rsidRPr="007C285F" w:rsidRDefault="00F10037" w:rsidP="0094013C">
          <w:pPr>
            <w:pStyle w:val="SOPTableHeader"/>
          </w:pPr>
          <w:r w:rsidRPr="007C285F">
            <w:t>Page:</w:t>
          </w:r>
        </w:p>
      </w:tc>
    </w:tr>
    <w:tr w:rsidR="00F10037" w:rsidRPr="007C285F" w14:paraId="7EED664B" w14:textId="77777777" w:rsidTr="009B1F20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EED6646" w14:textId="77777777" w:rsidR="00F10037" w:rsidRPr="007C285F" w:rsidRDefault="00F10037" w:rsidP="007C285F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D6647" w14:textId="77777777" w:rsidR="00F10037" w:rsidRPr="007C285F" w:rsidRDefault="004B6F40" w:rsidP="0094013C">
          <w:pPr>
            <w:pStyle w:val="SOPTableItemBold"/>
          </w:pPr>
          <w:fldSimple w:instr=" SUBJECT   \* MERGEFORMAT ">
            <w:r>
              <w:t>HRP-107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D6648" w14:textId="77777777" w:rsidR="00F10037" w:rsidRPr="007C285F" w:rsidRDefault="00F10037" w:rsidP="0094013C">
          <w:pPr>
            <w:pStyle w:val="SOPTableItemBold"/>
          </w:pPr>
          <w:r w:rsidRPr="007C285F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EED6649" w14:textId="233ABA20" w:rsidR="00F10037" w:rsidRPr="007C285F" w:rsidRDefault="0036615E" w:rsidP="0094013C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D664A" w14:textId="77777777" w:rsidR="00F10037" w:rsidRPr="007C285F" w:rsidRDefault="00F10037" w:rsidP="0094013C">
          <w:pPr>
            <w:pStyle w:val="SOPTableItemBold"/>
          </w:pPr>
          <w:r w:rsidRPr="007C285F">
            <w:t xml:space="preserve">Page </w:t>
          </w:r>
          <w:r w:rsidRPr="007C285F">
            <w:fldChar w:fldCharType="begin"/>
          </w:r>
          <w:r w:rsidRPr="007C285F">
            <w:instrText xml:space="preserve"> PAGE  \* Arabic  \* MERGEFORMAT </w:instrText>
          </w:r>
          <w:r w:rsidRPr="007C285F">
            <w:fldChar w:fldCharType="separate"/>
          </w:r>
          <w:r w:rsidR="0036615E">
            <w:t>1</w:t>
          </w:r>
          <w:r w:rsidRPr="007C285F">
            <w:fldChar w:fldCharType="end"/>
          </w:r>
          <w:r w:rsidRPr="007C285F">
            <w:t xml:space="preserve"> of </w:t>
          </w:r>
          <w:fldSimple w:instr=" NUMPAGES  \* Arabic  \* MERGEFORMAT ">
            <w:r w:rsidR="0036615E">
              <w:t>1</w:t>
            </w:r>
          </w:fldSimple>
        </w:p>
      </w:tc>
    </w:tr>
  </w:tbl>
  <w:p w14:paraId="7EED664C" w14:textId="77777777" w:rsidR="00F10037" w:rsidRPr="007C285F" w:rsidRDefault="00F10037" w:rsidP="007C285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C285F">
      <w:rPr>
        <w:rFonts w:ascii="Calibri" w:eastAsia="Calibri" w:hAnsi="Calibri" w:cs="Times New Roman"/>
        <w:sz w:val="2"/>
        <w:szCs w:val="2"/>
      </w:rPr>
      <w:tab/>
    </w:r>
  </w:p>
  <w:p w14:paraId="7EED664D" w14:textId="77777777" w:rsidR="00F10037" w:rsidRPr="007C285F" w:rsidRDefault="00F10037" w:rsidP="007C285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EED664E" w14:textId="77777777" w:rsidR="00F10037" w:rsidRPr="007C285F" w:rsidRDefault="00F10037" w:rsidP="007C285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EED664F" w14:textId="77777777" w:rsidR="00F10037" w:rsidRPr="007C285F" w:rsidRDefault="00F10037" w:rsidP="007C285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46BF4"/>
    <w:rsid w:val="00064708"/>
    <w:rsid w:val="00065C21"/>
    <w:rsid w:val="00085C89"/>
    <w:rsid w:val="000B03D7"/>
    <w:rsid w:val="000D5B18"/>
    <w:rsid w:val="000E1AC8"/>
    <w:rsid w:val="000E3502"/>
    <w:rsid w:val="000F0D0B"/>
    <w:rsid w:val="001039BA"/>
    <w:rsid w:val="0013294A"/>
    <w:rsid w:val="00135A1D"/>
    <w:rsid w:val="00173CFA"/>
    <w:rsid w:val="001A5996"/>
    <w:rsid w:val="001A5A2A"/>
    <w:rsid w:val="001B1AAC"/>
    <w:rsid w:val="001B2264"/>
    <w:rsid w:val="001C3FF9"/>
    <w:rsid w:val="001C443A"/>
    <w:rsid w:val="0020344B"/>
    <w:rsid w:val="00223FDC"/>
    <w:rsid w:val="0027369B"/>
    <w:rsid w:val="00282D03"/>
    <w:rsid w:val="002D06A0"/>
    <w:rsid w:val="002D4539"/>
    <w:rsid w:val="002E318D"/>
    <w:rsid w:val="003105FA"/>
    <w:rsid w:val="00332ADF"/>
    <w:rsid w:val="00354910"/>
    <w:rsid w:val="0036615E"/>
    <w:rsid w:val="00375A4E"/>
    <w:rsid w:val="00381356"/>
    <w:rsid w:val="003A7F1F"/>
    <w:rsid w:val="003D226A"/>
    <w:rsid w:val="00402C2E"/>
    <w:rsid w:val="00454749"/>
    <w:rsid w:val="004B6F40"/>
    <w:rsid w:val="004C046E"/>
    <w:rsid w:val="004C13EF"/>
    <w:rsid w:val="004C34F6"/>
    <w:rsid w:val="004C38B7"/>
    <w:rsid w:val="004C7856"/>
    <w:rsid w:val="004F7D0C"/>
    <w:rsid w:val="00563DAB"/>
    <w:rsid w:val="00587CBE"/>
    <w:rsid w:val="005B6E88"/>
    <w:rsid w:val="005D6164"/>
    <w:rsid w:val="006013BC"/>
    <w:rsid w:val="00623C82"/>
    <w:rsid w:val="00652560"/>
    <w:rsid w:val="00653685"/>
    <w:rsid w:val="00661C12"/>
    <w:rsid w:val="006656DC"/>
    <w:rsid w:val="00667E43"/>
    <w:rsid w:val="006A116B"/>
    <w:rsid w:val="006B16A0"/>
    <w:rsid w:val="006C2661"/>
    <w:rsid w:val="006D21A8"/>
    <w:rsid w:val="006D2E9A"/>
    <w:rsid w:val="006D48D5"/>
    <w:rsid w:val="007146DF"/>
    <w:rsid w:val="00726394"/>
    <w:rsid w:val="00736929"/>
    <w:rsid w:val="007471DF"/>
    <w:rsid w:val="00757358"/>
    <w:rsid w:val="00766DBC"/>
    <w:rsid w:val="00774C40"/>
    <w:rsid w:val="007C285F"/>
    <w:rsid w:val="007D062D"/>
    <w:rsid w:val="008053FB"/>
    <w:rsid w:val="00867BF2"/>
    <w:rsid w:val="00873599"/>
    <w:rsid w:val="008C5C39"/>
    <w:rsid w:val="008D250E"/>
    <w:rsid w:val="00907067"/>
    <w:rsid w:val="0093159B"/>
    <w:rsid w:val="00935262"/>
    <w:rsid w:val="0094013C"/>
    <w:rsid w:val="00956356"/>
    <w:rsid w:val="009573C0"/>
    <w:rsid w:val="00986096"/>
    <w:rsid w:val="009A0A2E"/>
    <w:rsid w:val="009B1F20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C6DFD"/>
    <w:rsid w:val="00AD66B1"/>
    <w:rsid w:val="00AF24CF"/>
    <w:rsid w:val="00B01166"/>
    <w:rsid w:val="00B037DA"/>
    <w:rsid w:val="00B06F26"/>
    <w:rsid w:val="00B178EA"/>
    <w:rsid w:val="00B22FEC"/>
    <w:rsid w:val="00B23176"/>
    <w:rsid w:val="00B3037C"/>
    <w:rsid w:val="00B75A7B"/>
    <w:rsid w:val="00B82628"/>
    <w:rsid w:val="00B864B9"/>
    <w:rsid w:val="00B966FA"/>
    <w:rsid w:val="00B96736"/>
    <w:rsid w:val="00BD62CE"/>
    <w:rsid w:val="00BE3293"/>
    <w:rsid w:val="00BF7355"/>
    <w:rsid w:val="00BF764C"/>
    <w:rsid w:val="00C164FC"/>
    <w:rsid w:val="00C33B73"/>
    <w:rsid w:val="00C36FC5"/>
    <w:rsid w:val="00C37500"/>
    <w:rsid w:val="00C441DF"/>
    <w:rsid w:val="00C713B6"/>
    <w:rsid w:val="00C76522"/>
    <w:rsid w:val="00CA2935"/>
    <w:rsid w:val="00CB7837"/>
    <w:rsid w:val="00CE586C"/>
    <w:rsid w:val="00CE702A"/>
    <w:rsid w:val="00D10EF7"/>
    <w:rsid w:val="00D25A90"/>
    <w:rsid w:val="00D263F1"/>
    <w:rsid w:val="00D37174"/>
    <w:rsid w:val="00D514F0"/>
    <w:rsid w:val="00D544B2"/>
    <w:rsid w:val="00D565CD"/>
    <w:rsid w:val="00D83094"/>
    <w:rsid w:val="00D86D95"/>
    <w:rsid w:val="00D944D0"/>
    <w:rsid w:val="00DA20BA"/>
    <w:rsid w:val="00DB1951"/>
    <w:rsid w:val="00DD2A9E"/>
    <w:rsid w:val="00DD4EE3"/>
    <w:rsid w:val="00DF2C9C"/>
    <w:rsid w:val="00E00D6A"/>
    <w:rsid w:val="00E83E40"/>
    <w:rsid w:val="00E8719A"/>
    <w:rsid w:val="00E95BBF"/>
    <w:rsid w:val="00EA6F31"/>
    <w:rsid w:val="00EB2241"/>
    <w:rsid w:val="00EF5D37"/>
    <w:rsid w:val="00EF64B1"/>
    <w:rsid w:val="00F01E3A"/>
    <w:rsid w:val="00F10037"/>
    <w:rsid w:val="00F23E14"/>
    <w:rsid w:val="00F27A1F"/>
    <w:rsid w:val="00F449F8"/>
    <w:rsid w:val="00F65A07"/>
    <w:rsid w:val="00F930EE"/>
    <w:rsid w:val="00FB359C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ED6628"/>
  <w15:docId w15:val="{E21F92F6-E0DB-4C78-A692-9EE504A6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F449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F449F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F449F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F449F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F449F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F449F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449F8"/>
    <w:pPr>
      <w:ind w:left="720"/>
      <w:contextualSpacing/>
    </w:pPr>
  </w:style>
  <w:style w:type="paragraph" w:customStyle="1" w:styleId="SOPLevel1">
    <w:name w:val="SOP Level 1"/>
    <w:basedOn w:val="SOPBasis"/>
    <w:qFormat/>
    <w:rsid w:val="00F449F8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F449F8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F449F8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449F8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F449F8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F449F8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F449F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F449F8"/>
  </w:style>
  <w:style w:type="character" w:customStyle="1" w:styleId="SOPDefinition">
    <w:name w:val="SOP Definition"/>
    <w:basedOn w:val="SOPDefault"/>
    <w:uiPriority w:val="1"/>
    <w:qFormat/>
    <w:rsid w:val="00F449F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C28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F449F8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54BB-3529-431B-9A56-E12BFE9F3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20C26A8-5D71-4C31-A088-48F758AD6A91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6DD1E7D5-F926-4355-B059-FF1254F39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B81A1-54C0-4F62-A6C6-2356BFFD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Committee Review Monitoring</vt:lpstr>
    </vt:vector>
  </TitlesOfParts>
  <Company>Copyright © 2013 WIRB-Copernicus Group. All rights reserved.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Committee Review Monitoring</dc:title>
  <dc:subject>HRP-107</dc:subject>
  <dc:creator>Jeffrey A. Cooper, MD, MMM</dc:creator>
  <dc:description>dd MMM yyyy</dc:description>
  <cp:lastModifiedBy>Michelle Stevenson</cp:lastModifiedBy>
  <cp:revision>48</cp:revision>
  <dcterms:created xsi:type="dcterms:W3CDTF">2013-01-15T03:12:00Z</dcterms:created>
  <dcterms:modified xsi:type="dcterms:W3CDTF">2016-09-01T18:16:00Z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4700</vt:r8>
  </property>
</Properties>
</file>