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C1B5" w14:textId="77777777" w:rsidR="0038035E" w:rsidRDefault="0038035E" w:rsidP="0038035E">
      <w:pPr>
        <w:pStyle w:val="Heading1"/>
        <w:spacing w:after="240"/>
      </w:pPr>
      <w:bookmarkStart w:id="0" w:name="_Toc445381755"/>
      <w:r>
        <w:t>PART XIII – BREEDING OF RESEARCH ANIMALS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2004"/>
      </w:tblGrid>
      <w:tr w:rsidR="0038035E" w:rsidRPr="00C531E9" w14:paraId="0DD8CF0F" w14:textId="77777777" w:rsidTr="000B1D77">
        <w:tc>
          <w:tcPr>
            <w:tcW w:w="331" w:type="dxa"/>
          </w:tcPr>
          <w:p w14:paraId="14780B0F" w14:textId="77777777" w:rsidR="0038035E" w:rsidRDefault="0038035E" w:rsidP="000B1D77">
            <w:pPr>
              <w:spacing w:line="276" w:lineRule="auto"/>
            </w:pPr>
          </w:p>
        </w:tc>
        <w:tc>
          <w:tcPr>
            <w:tcW w:w="2004" w:type="dxa"/>
            <w:tcBorders>
              <w:top w:val="nil"/>
              <w:bottom w:val="nil"/>
              <w:right w:val="nil"/>
            </w:tcBorders>
          </w:tcPr>
          <w:p w14:paraId="5C4CEACE" w14:textId="77777777" w:rsidR="0038035E" w:rsidRPr="00C531E9" w:rsidRDefault="0038035E" w:rsidP="000B1D77">
            <w:pPr>
              <w:spacing w:line="276" w:lineRule="auto"/>
              <w:rPr>
                <w:b/>
                <w:color w:val="385623" w:themeColor="accent6" w:themeShade="80"/>
              </w:rPr>
            </w:pPr>
            <w:r w:rsidRPr="004B06E1">
              <w:rPr>
                <w:b/>
              </w:rPr>
              <w:t>NOT APPLICABLE</w:t>
            </w:r>
          </w:p>
        </w:tc>
      </w:tr>
    </w:tbl>
    <w:p w14:paraId="518C2D58" w14:textId="77777777" w:rsidR="0038035E" w:rsidRPr="00BC601F" w:rsidRDefault="0038035E" w:rsidP="0038035E">
      <w:pPr>
        <w:spacing w:before="240"/>
        <w:rPr>
          <w:color w:val="FF0000"/>
        </w:rPr>
      </w:pPr>
      <w:r>
        <w:rPr>
          <w:color w:val="FF0000"/>
        </w:rPr>
        <w:t>Complete the table in PART IIIC</w:t>
      </w:r>
    </w:p>
    <w:p w14:paraId="09B459F8" w14:textId="77777777" w:rsidR="0038035E" w:rsidRDefault="0038035E" w:rsidP="0038035E">
      <w:pPr>
        <w:pStyle w:val="Heading3"/>
      </w:pPr>
      <w:r>
        <w:t>Justification for in-house breeding:</w:t>
      </w:r>
    </w:p>
    <w:p w14:paraId="66EC4021" w14:textId="77777777" w:rsidR="0038035E" w:rsidRDefault="0038035E" w:rsidP="0038035E">
      <w:pPr>
        <w:pStyle w:val="Heading5"/>
        <w:numPr>
          <w:ilvl w:val="0"/>
          <w:numId w:val="3"/>
        </w:numPr>
      </w:pPr>
      <w:r>
        <w:t>Could animals, that will be bred, be purchased from commercial sources in the required numbers?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435"/>
      </w:tblGrid>
      <w:tr w:rsidR="0038035E" w:rsidRPr="007B7B38" w14:paraId="3B96FD27" w14:textId="77777777" w:rsidTr="000B1D77">
        <w:tc>
          <w:tcPr>
            <w:tcW w:w="302" w:type="dxa"/>
          </w:tcPr>
          <w:p w14:paraId="1065254E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1354E9B8" w14:textId="77777777" w:rsidR="0038035E" w:rsidRPr="007B7B38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YES</w:t>
            </w:r>
          </w:p>
        </w:tc>
      </w:tr>
      <w:tr w:rsidR="0038035E" w:rsidRPr="007B7B38" w14:paraId="45807476" w14:textId="77777777" w:rsidTr="000B1D77">
        <w:tc>
          <w:tcPr>
            <w:tcW w:w="302" w:type="dxa"/>
          </w:tcPr>
          <w:p w14:paraId="2A7A9BAF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3CB34C3C" w14:textId="77777777" w:rsidR="0038035E" w:rsidRPr="007B7B38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</w:t>
            </w:r>
          </w:p>
        </w:tc>
      </w:tr>
      <w:tr w:rsidR="0038035E" w:rsidRPr="007B7B38" w14:paraId="6FB23BA6" w14:textId="77777777" w:rsidTr="000B1D77">
        <w:tc>
          <w:tcPr>
            <w:tcW w:w="10737" w:type="dxa"/>
            <w:gridSpan w:val="2"/>
            <w:shd w:val="clear" w:color="auto" w:fill="E2EFD9" w:themeFill="accent6" w:themeFillTint="33"/>
          </w:tcPr>
          <w:p w14:paraId="6C00A476" w14:textId="25205B2A" w:rsidR="0038035E" w:rsidRPr="007B7B38" w:rsidRDefault="0038035E" w:rsidP="000B1D77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If YES, please describe the rationale for</w:t>
            </w:r>
            <w:r w:rsidR="00101D8E">
              <w:rPr>
                <w:b/>
                <w:color w:val="385623" w:themeColor="accent6" w:themeShade="80"/>
              </w:rPr>
              <w:t xml:space="preserve"> breeding these animals at UTSA:</w:t>
            </w:r>
          </w:p>
        </w:tc>
      </w:tr>
      <w:tr w:rsidR="0038035E" w:rsidRPr="007B7B38" w14:paraId="63828CE7" w14:textId="77777777" w:rsidTr="000B1D77">
        <w:tc>
          <w:tcPr>
            <w:tcW w:w="10737" w:type="dxa"/>
            <w:gridSpan w:val="2"/>
          </w:tcPr>
          <w:p w14:paraId="23A74804" w14:textId="77777777" w:rsidR="0038035E" w:rsidRPr="007B7B38" w:rsidRDefault="0038035E" w:rsidP="000B1D77">
            <w:pPr>
              <w:spacing w:line="276" w:lineRule="auto"/>
            </w:pPr>
          </w:p>
        </w:tc>
      </w:tr>
    </w:tbl>
    <w:p w14:paraId="226476C0" w14:textId="77777777" w:rsidR="0038035E" w:rsidRDefault="0038035E" w:rsidP="0038035E">
      <w:pPr>
        <w:pStyle w:val="Heading3"/>
        <w:numPr>
          <w:ilvl w:val="0"/>
          <w:numId w:val="4"/>
        </w:numPr>
      </w:pPr>
      <w:r>
        <w:t>Please identify the source of breeders: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"/>
        <w:gridCol w:w="10493"/>
      </w:tblGrid>
      <w:tr w:rsidR="0038035E" w14:paraId="08AEBD16" w14:textId="77777777" w:rsidTr="000B1D77">
        <w:tc>
          <w:tcPr>
            <w:tcW w:w="140" w:type="pct"/>
          </w:tcPr>
          <w:p w14:paraId="032C6EC2" w14:textId="77777777" w:rsidR="0038035E" w:rsidRDefault="0038035E" w:rsidP="000B1D77"/>
        </w:tc>
        <w:tc>
          <w:tcPr>
            <w:tcW w:w="4860" w:type="pct"/>
            <w:tcBorders>
              <w:top w:val="nil"/>
              <w:right w:val="nil"/>
            </w:tcBorders>
          </w:tcPr>
          <w:p w14:paraId="5AA1B522" w14:textId="77777777" w:rsidR="0038035E" w:rsidRPr="00D53B2E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Colony managed by a UTSA investigator.</w:t>
            </w:r>
          </w:p>
        </w:tc>
      </w:tr>
      <w:tr w:rsidR="0038035E" w14:paraId="279A7D36" w14:textId="77777777" w:rsidTr="000B1D77">
        <w:tc>
          <w:tcPr>
            <w:tcW w:w="5000" w:type="pct"/>
            <w:gridSpan w:val="2"/>
            <w:shd w:val="clear" w:color="auto" w:fill="E2EFD9" w:themeFill="accent6" w:themeFillTint="33"/>
          </w:tcPr>
          <w:p w14:paraId="3298B668" w14:textId="65561C7E" w:rsidR="0038035E" w:rsidRPr="00D53B2E" w:rsidRDefault="0038035E" w:rsidP="000B1D77">
            <w:pPr>
              <w:rPr>
                <w:b/>
              </w:rPr>
            </w:pPr>
            <w:r w:rsidRPr="00D53B2E">
              <w:rPr>
                <w:b/>
                <w:color w:val="385623" w:themeColor="accent6" w:themeShade="80"/>
              </w:rPr>
              <w:t>Specify the Investigator’s name and source protocol number</w:t>
            </w:r>
            <w:r w:rsidR="00101D8E">
              <w:rPr>
                <w:b/>
                <w:color w:val="385623" w:themeColor="accent6" w:themeShade="80"/>
              </w:rPr>
              <w:t>:</w:t>
            </w:r>
          </w:p>
        </w:tc>
      </w:tr>
      <w:tr w:rsidR="0038035E" w14:paraId="77208BA8" w14:textId="77777777" w:rsidTr="000B1D77">
        <w:tc>
          <w:tcPr>
            <w:tcW w:w="5000" w:type="pct"/>
            <w:gridSpan w:val="2"/>
          </w:tcPr>
          <w:p w14:paraId="6CC25AC1" w14:textId="77777777" w:rsidR="0038035E" w:rsidRDefault="0038035E" w:rsidP="000B1D77">
            <w:pPr>
              <w:spacing w:line="276" w:lineRule="auto"/>
            </w:pPr>
          </w:p>
        </w:tc>
      </w:tr>
    </w:tbl>
    <w:p w14:paraId="369A9B73" w14:textId="77777777" w:rsidR="0038035E" w:rsidRDefault="0038035E" w:rsidP="0038035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"/>
        <w:gridCol w:w="10493"/>
      </w:tblGrid>
      <w:tr w:rsidR="0038035E" w:rsidRPr="00D53B2E" w14:paraId="0EB5B53F" w14:textId="77777777" w:rsidTr="000B1D77">
        <w:tc>
          <w:tcPr>
            <w:tcW w:w="140" w:type="pct"/>
          </w:tcPr>
          <w:p w14:paraId="644A6883" w14:textId="77777777" w:rsidR="0038035E" w:rsidRDefault="0038035E" w:rsidP="000B1D77"/>
        </w:tc>
        <w:tc>
          <w:tcPr>
            <w:tcW w:w="4860" w:type="pct"/>
            <w:tcBorders>
              <w:top w:val="nil"/>
              <w:right w:val="nil"/>
            </w:tcBorders>
          </w:tcPr>
          <w:p w14:paraId="15984C59" w14:textId="77777777" w:rsidR="0038035E" w:rsidRPr="00D53B2E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Obtained from another institution or non-UTSA investigator.</w:t>
            </w:r>
          </w:p>
        </w:tc>
      </w:tr>
      <w:tr w:rsidR="0038035E" w:rsidRPr="00D53B2E" w14:paraId="7AF7C4E0" w14:textId="77777777" w:rsidTr="000B1D77">
        <w:tc>
          <w:tcPr>
            <w:tcW w:w="5000" w:type="pct"/>
            <w:gridSpan w:val="2"/>
            <w:shd w:val="clear" w:color="auto" w:fill="E2EFD9" w:themeFill="accent6" w:themeFillTint="33"/>
          </w:tcPr>
          <w:p w14:paraId="6BF6ED3A" w14:textId="35FC9DF2" w:rsidR="0038035E" w:rsidRPr="00D53B2E" w:rsidRDefault="00101D8E" w:rsidP="000B1D77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Identify the source:</w:t>
            </w:r>
          </w:p>
        </w:tc>
      </w:tr>
      <w:tr w:rsidR="0038035E" w14:paraId="172723A8" w14:textId="77777777" w:rsidTr="000B1D77">
        <w:tc>
          <w:tcPr>
            <w:tcW w:w="5000" w:type="pct"/>
            <w:gridSpan w:val="2"/>
          </w:tcPr>
          <w:p w14:paraId="0E48BA7E" w14:textId="77777777" w:rsidR="0038035E" w:rsidRDefault="0038035E" w:rsidP="000B1D77">
            <w:pPr>
              <w:spacing w:line="276" w:lineRule="auto"/>
            </w:pPr>
          </w:p>
        </w:tc>
      </w:tr>
    </w:tbl>
    <w:p w14:paraId="538F9A21" w14:textId="77777777" w:rsidR="0038035E" w:rsidRDefault="0038035E" w:rsidP="0038035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"/>
        <w:gridCol w:w="10493"/>
      </w:tblGrid>
      <w:tr w:rsidR="0038035E" w:rsidRPr="00D53B2E" w14:paraId="11EDB83D" w14:textId="77777777" w:rsidTr="000B1D77">
        <w:tc>
          <w:tcPr>
            <w:tcW w:w="140" w:type="pct"/>
          </w:tcPr>
          <w:p w14:paraId="4718C35F" w14:textId="77777777" w:rsidR="0038035E" w:rsidRDefault="0038035E" w:rsidP="000B1D77"/>
        </w:tc>
        <w:tc>
          <w:tcPr>
            <w:tcW w:w="4860" w:type="pct"/>
            <w:tcBorders>
              <w:top w:val="nil"/>
              <w:right w:val="nil"/>
            </w:tcBorders>
          </w:tcPr>
          <w:p w14:paraId="1C0BF61F" w14:textId="77777777" w:rsidR="0038035E" w:rsidRPr="00D53B2E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Purchased from a LARC approved vendor </w:t>
            </w:r>
            <w:hyperlink r:id="rId7" w:history="1">
              <w:r w:rsidRPr="00BC601F">
                <w:rPr>
                  <w:rStyle w:val="Hyperlink"/>
                  <w:color w:val="023160" w:themeColor="hyperlink" w:themeShade="80"/>
                </w:rPr>
                <w:t>(list of approved vendors)</w:t>
              </w:r>
            </w:hyperlink>
            <w:r>
              <w:rPr>
                <w:rStyle w:val="Hyperlink"/>
                <w:color w:val="023160" w:themeColor="hyperlink" w:themeShade="80"/>
              </w:rPr>
              <w:t>.</w:t>
            </w:r>
          </w:p>
        </w:tc>
      </w:tr>
      <w:tr w:rsidR="0038035E" w:rsidRPr="00D53B2E" w14:paraId="0EE5D616" w14:textId="77777777" w:rsidTr="000B1D77">
        <w:tc>
          <w:tcPr>
            <w:tcW w:w="5000" w:type="pct"/>
            <w:gridSpan w:val="2"/>
            <w:shd w:val="clear" w:color="auto" w:fill="E2EFD9" w:themeFill="accent6" w:themeFillTint="33"/>
          </w:tcPr>
          <w:p w14:paraId="67C1BFBE" w14:textId="37441838" w:rsidR="0038035E" w:rsidRPr="00D53B2E" w:rsidRDefault="0038035E" w:rsidP="000B1D77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Identify the vendor</w:t>
            </w:r>
            <w:r w:rsidR="00101D8E">
              <w:rPr>
                <w:b/>
                <w:color w:val="385623" w:themeColor="accent6" w:themeShade="80"/>
              </w:rPr>
              <w:t>:</w:t>
            </w:r>
          </w:p>
        </w:tc>
      </w:tr>
      <w:tr w:rsidR="0038035E" w14:paraId="5A9D5D61" w14:textId="77777777" w:rsidTr="000B1D77">
        <w:tc>
          <w:tcPr>
            <w:tcW w:w="5000" w:type="pct"/>
            <w:gridSpan w:val="2"/>
          </w:tcPr>
          <w:p w14:paraId="2252B959" w14:textId="77777777" w:rsidR="0038035E" w:rsidRDefault="0038035E" w:rsidP="000B1D77">
            <w:pPr>
              <w:spacing w:line="276" w:lineRule="auto"/>
            </w:pPr>
          </w:p>
        </w:tc>
      </w:tr>
    </w:tbl>
    <w:p w14:paraId="6214281B" w14:textId="77777777" w:rsidR="0038035E" w:rsidRDefault="0038035E" w:rsidP="0038035E">
      <w:pPr>
        <w:pStyle w:val="Heading3"/>
        <w:numPr>
          <w:ilvl w:val="0"/>
          <w:numId w:val="4"/>
        </w:numPr>
      </w:pPr>
      <w:r>
        <w:t>Select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435"/>
      </w:tblGrid>
      <w:tr w:rsidR="0038035E" w:rsidRPr="007B7B38" w14:paraId="18B11D3F" w14:textId="77777777" w:rsidTr="000B1D77">
        <w:tc>
          <w:tcPr>
            <w:tcW w:w="302" w:type="dxa"/>
          </w:tcPr>
          <w:p w14:paraId="3A5373CB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2E8E0060" w14:textId="77777777" w:rsidR="0038035E" w:rsidRPr="007B7B38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Breeding scheme will be monogamous, non-continuous scheme.</w:t>
            </w:r>
          </w:p>
        </w:tc>
      </w:tr>
      <w:tr w:rsidR="0038035E" w:rsidRPr="007B7B38" w14:paraId="7EB3CE02" w14:textId="77777777" w:rsidTr="000B1D77">
        <w:tc>
          <w:tcPr>
            <w:tcW w:w="302" w:type="dxa"/>
          </w:tcPr>
          <w:p w14:paraId="5DBBC078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06D3997C" w14:textId="77777777" w:rsidR="0038035E" w:rsidRPr="00BC601F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Breeding scheme will be OTHER THAN monogamous, non-continuous scheme. </w:t>
            </w:r>
            <w:hyperlink r:id="rId8" w:history="1">
              <w:r w:rsidRPr="00BC601F">
                <w:rPr>
                  <w:rStyle w:val="Hyperlink"/>
                  <w:color w:val="023160" w:themeColor="hyperlink" w:themeShade="80"/>
                </w:rPr>
                <w:t>(see IACP 013)</w:t>
              </w:r>
            </w:hyperlink>
            <w:r>
              <w:rPr>
                <w:b/>
                <w:color w:val="385623" w:themeColor="accent6" w:themeShade="80"/>
              </w:rPr>
              <w:t>*</w:t>
            </w:r>
          </w:p>
        </w:tc>
      </w:tr>
      <w:tr w:rsidR="0038035E" w:rsidRPr="007B7B38" w14:paraId="55A3C9CB" w14:textId="77777777" w:rsidTr="000B1D77">
        <w:tc>
          <w:tcPr>
            <w:tcW w:w="10737" w:type="dxa"/>
            <w:gridSpan w:val="2"/>
            <w:shd w:val="clear" w:color="auto" w:fill="E2EFD9" w:themeFill="accent6" w:themeFillTint="33"/>
          </w:tcPr>
          <w:p w14:paraId="52F32A1F" w14:textId="4A61E4E0" w:rsidR="0038035E" w:rsidRPr="007B7B38" w:rsidRDefault="0038035E" w:rsidP="000B1D77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*Please justify</w:t>
            </w:r>
            <w:r w:rsidR="00101D8E">
              <w:rPr>
                <w:b/>
                <w:color w:val="385623" w:themeColor="accent6" w:themeShade="80"/>
              </w:rPr>
              <w:t>:</w:t>
            </w:r>
          </w:p>
        </w:tc>
      </w:tr>
      <w:tr w:rsidR="0038035E" w:rsidRPr="007B7B38" w14:paraId="0545579C" w14:textId="77777777" w:rsidTr="000B1D77">
        <w:tc>
          <w:tcPr>
            <w:tcW w:w="10737" w:type="dxa"/>
            <w:gridSpan w:val="2"/>
          </w:tcPr>
          <w:p w14:paraId="0781451E" w14:textId="77777777" w:rsidR="0038035E" w:rsidRPr="007B7B38" w:rsidRDefault="0038035E" w:rsidP="000B1D77">
            <w:pPr>
              <w:spacing w:line="276" w:lineRule="auto"/>
            </w:pPr>
          </w:p>
        </w:tc>
      </w:tr>
    </w:tbl>
    <w:p w14:paraId="503EA8A1" w14:textId="77777777" w:rsidR="0038035E" w:rsidRDefault="0038035E" w:rsidP="0038035E">
      <w:pPr>
        <w:pStyle w:val="Heading3"/>
        <w:numPr>
          <w:ilvl w:val="0"/>
          <w:numId w:val="4"/>
        </w:numPr>
      </w:pPr>
      <w:r>
        <w:t>If other than a monogamous, non-continuous scheme will be followed indicate how overcrowding will be prevented: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435"/>
      </w:tblGrid>
      <w:tr w:rsidR="0038035E" w:rsidRPr="007B7B38" w14:paraId="659F15B3" w14:textId="77777777" w:rsidTr="000B1D77">
        <w:tc>
          <w:tcPr>
            <w:tcW w:w="302" w:type="dxa"/>
          </w:tcPr>
          <w:p w14:paraId="0ED801BB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0FC7233A" w14:textId="1B76B110" w:rsidR="0038035E" w:rsidRPr="007B7B38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Dam will be isolated until pups are weaned</w:t>
            </w:r>
            <w:r w:rsidR="00101D8E">
              <w:rPr>
                <w:b/>
                <w:color w:val="385623" w:themeColor="accent6" w:themeShade="80"/>
              </w:rPr>
              <w:t>.</w:t>
            </w:r>
          </w:p>
        </w:tc>
      </w:tr>
      <w:tr w:rsidR="0038035E" w:rsidRPr="007B7B38" w14:paraId="62F1B584" w14:textId="77777777" w:rsidTr="000B1D77">
        <w:tc>
          <w:tcPr>
            <w:tcW w:w="302" w:type="dxa"/>
          </w:tcPr>
          <w:p w14:paraId="2310659F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47174653" w14:textId="77777777" w:rsidR="0038035E" w:rsidRPr="00BC601F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Other*</w:t>
            </w:r>
          </w:p>
        </w:tc>
      </w:tr>
      <w:tr w:rsidR="0038035E" w:rsidRPr="007B7B38" w14:paraId="7FE2E2E8" w14:textId="77777777" w:rsidTr="000B1D77">
        <w:tc>
          <w:tcPr>
            <w:tcW w:w="10737" w:type="dxa"/>
            <w:gridSpan w:val="2"/>
            <w:shd w:val="clear" w:color="auto" w:fill="E2EFD9" w:themeFill="accent6" w:themeFillTint="33"/>
          </w:tcPr>
          <w:p w14:paraId="6DCD8136" w14:textId="337365EA" w:rsidR="0038035E" w:rsidRPr="007B7B38" w:rsidRDefault="0038035E" w:rsidP="000B1D77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*If OTHER was selected please explain below</w:t>
            </w:r>
            <w:r w:rsidR="00101D8E">
              <w:rPr>
                <w:b/>
                <w:color w:val="385623" w:themeColor="accent6" w:themeShade="80"/>
              </w:rPr>
              <w:t>:</w:t>
            </w:r>
          </w:p>
        </w:tc>
      </w:tr>
      <w:tr w:rsidR="0038035E" w:rsidRPr="007B7B38" w14:paraId="1CB6F3F7" w14:textId="77777777" w:rsidTr="000B1D77">
        <w:tc>
          <w:tcPr>
            <w:tcW w:w="10737" w:type="dxa"/>
            <w:gridSpan w:val="2"/>
          </w:tcPr>
          <w:p w14:paraId="3E27ECDF" w14:textId="77777777" w:rsidR="0038035E" w:rsidRPr="007B7B38" w:rsidRDefault="0038035E" w:rsidP="000B1D77">
            <w:pPr>
              <w:spacing w:line="276" w:lineRule="auto"/>
            </w:pPr>
          </w:p>
        </w:tc>
      </w:tr>
    </w:tbl>
    <w:p w14:paraId="31BA131D" w14:textId="77777777" w:rsidR="0038035E" w:rsidRDefault="0038035E" w:rsidP="0038035E">
      <w:pPr>
        <w:pStyle w:val="Heading3"/>
        <w:numPr>
          <w:ilvl w:val="0"/>
          <w:numId w:val="4"/>
        </w:numPr>
      </w:pPr>
      <w:r>
        <w:t>Select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435"/>
      </w:tblGrid>
      <w:tr w:rsidR="0038035E" w:rsidRPr="007B7B38" w14:paraId="37430335" w14:textId="77777777" w:rsidTr="000B1D77">
        <w:tc>
          <w:tcPr>
            <w:tcW w:w="302" w:type="dxa"/>
          </w:tcPr>
          <w:p w14:paraId="4A7C04D8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12D2ACFC" w14:textId="77777777" w:rsidR="0038035E" w:rsidRPr="007B7B38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Offspring will be weaned at 18-21 days of age.</w:t>
            </w:r>
          </w:p>
        </w:tc>
      </w:tr>
      <w:tr w:rsidR="0038035E" w:rsidRPr="00BC601F" w14:paraId="16AE5685" w14:textId="77777777" w:rsidTr="000B1D77">
        <w:tc>
          <w:tcPr>
            <w:tcW w:w="302" w:type="dxa"/>
          </w:tcPr>
          <w:p w14:paraId="20DEE2EB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21B422F8" w14:textId="77777777" w:rsidR="0038035E" w:rsidRPr="00BC601F" w:rsidRDefault="0038035E" w:rsidP="000B1D77">
            <w:pPr>
              <w:rPr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Offspring will be weaned at times other that 18-21 days of age.*</w:t>
            </w:r>
          </w:p>
        </w:tc>
      </w:tr>
      <w:tr w:rsidR="0038035E" w:rsidRPr="007B7B38" w14:paraId="7B2BCD59" w14:textId="77777777" w:rsidTr="000B1D77">
        <w:tc>
          <w:tcPr>
            <w:tcW w:w="10737" w:type="dxa"/>
            <w:gridSpan w:val="2"/>
            <w:shd w:val="clear" w:color="auto" w:fill="E2EFD9" w:themeFill="accent6" w:themeFillTint="33"/>
          </w:tcPr>
          <w:p w14:paraId="3939D84D" w14:textId="6D199733" w:rsidR="0038035E" w:rsidRPr="007B7B38" w:rsidRDefault="0038035E" w:rsidP="000B1D77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lastRenderedPageBreak/>
              <w:t>*Please justify</w:t>
            </w:r>
            <w:r w:rsidR="00101D8E">
              <w:rPr>
                <w:b/>
                <w:color w:val="385623" w:themeColor="accent6" w:themeShade="80"/>
              </w:rPr>
              <w:t>:</w:t>
            </w:r>
          </w:p>
        </w:tc>
      </w:tr>
      <w:tr w:rsidR="0038035E" w:rsidRPr="007B7B38" w14:paraId="59A6DE5D" w14:textId="77777777" w:rsidTr="000B1D77">
        <w:tc>
          <w:tcPr>
            <w:tcW w:w="10737" w:type="dxa"/>
            <w:gridSpan w:val="2"/>
          </w:tcPr>
          <w:p w14:paraId="5A71C531" w14:textId="77777777" w:rsidR="0038035E" w:rsidRPr="007B7B38" w:rsidRDefault="0038035E" w:rsidP="000B1D77">
            <w:pPr>
              <w:spacing w:line="276" w:lineRule="auto"/>
            </w:pPr>
          </w:p>
        </w:tc>
      </w:tr>
    </w:tbl>
    <w:p w14:paraId="71AD6F66" w14:textId="77777777" w:rsidR="0038035E" w:rsidRDefault="0038035E" w:rsidP="0038035E">
      <w:pPr>
        <w:pStyle w:val="Heading3"/>
        <w:numPr>
          <w:ilvl w:val="0"/>
          <w:numId w:val="4"/>
        </w:numPr>
      </w:pPr>
      <w:r>
        <w:br w:type="page"/>
      </w:r>
      <w:r>
        <w:lastRenderedPageBreak/>
        <w:t>Special care (feed, water, temperature, humidity, air flow) required for this breeding colony: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435"/>
      </w:tblGrid>
      <w:tr w:rsidR="0038035E" w:rsidRPr="007B7B38" w14:paraId="04C358FE" w14:textId="77777777" w:rsidTr="000B1D77">
        <w:tc>
          <w:tcPr>
            <w:tcW w:w="302" w:type="dxa"/>
          </w:tcPr>
          <w:p w14:paraId="25977F30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3FF713E7" w14:textId="77777777" w:rsidR="0038035E" w:rsidRPr="007B7B38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 special care is required.</w:t>
            </w:r>
          </w:p>
        </w:tc>
      </w:tr>
      <w:tr w:rsidR="0038035E" w:rsidRPr="00BC601F" w14:paraId="43F785C7" w14:textId="77777777" w:rsidTr="000B1D77">
        <w:tc>
          <w:tcPr>
            <w:tcW w:w="302" w:type="dxa"/>
          </w:tcPr>
          <w:p w14:paraId="5539B41B" w14:textId="77777777" w:rsidR="0038035E" w:rsidRDefault="0038035E" w:rsidP="000B1D77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14:paraId="21BF539E" w14:textId="77777777" w:rsidR="0038035E" w:rsidRPr="00BC601F" w:rsidRDefault="0038035E" w:rsidP="000B1D7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Special care is necessary to keep these animals healthy.</w:t>
            </w:r>
          </w:p>
        </w:tc>
      </w:tr>
      <w:tr w:rsidR="0038035E" w:rsidRPr="007B7B38" w14:paraId="22EB06D0" w14:textId="77777777" w:rsidTr="000B1D77">
        <w:tc>
          <w:tcPr>
            <w:tcW w:w="10737" w:type="dxa"/>
            <w:gridSpan w:val="2"/>
            <w:shd w:val="clear" w:color="auto" w:fill="E2EFD9" w:themeFill="accent6" w:themeFillTint="33"/>
          </w:tcPr>
          <w:p w14:paraId="09D3F1AC" w14:textId="09CA6D87" w:rsidR="0038035E" w:rsidRPr="007B7B38" w:rsidRDefault="0038035E" w:rsidP="000B1D77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Describe the required special care</w:t>
            </w:r>
            <w:r w:rsidR="00101D8E">
              <w:rPr>
                <w:b/>
                <w:color w:val="385623" w:themeColor="accent6" w:themeShade="80"/>
              </w:rPr>
              <w:t>:</w:t>
            </w:r>
            <w:bookmarkStart w:id="1" w:name="_GoBack"/>
            <w:bookmarkEnd w:id="1"/>
          </w:p>
        </w:tc>
      </w:tr>
      <w:tr w:rsidR="0038035E" w:rsidRPr="007B7B38" w14:paraId="677DCE3D" w14:textId="77777777" w:rsidTr="000B1D77">
        <w:tc>
          <w:tcPr>
            <w:tcW w:w="10737" w:type="dxa"/>
            <w:gridSpan w:val="2"/>
          </w:tcPr>
          <w:p w14:paraId="2D711D4D" w14:textId="77777777" w:rsidR="0038035E" w:rsidRPr="007B7B38" w:rsidRDefault="0038035E" w:rsidP="000B1D77">
            <w:pPr>
              <w:spacing w:line="276" w:lineRule="auto"/>
            </w:pPr>
          </w:p>
        </w:tc>
      </w:tr>
    </w:tbl>
    <w:p w14:paraId="605DEDFF" w14:textId="77777777" w:rsidR="0038035E" w:rsidRDefault="00101D8E" w:rsidP="0038035E">
      <w:r>
        <w:pict w14:anchorId="6A7588EF">
          <v:rect id="_x0000_i1025" style="width:540pt;height:2pt" o:hralign="center" o:hrstd="t" o:hrnoshade="t" o:hr="t" fillcolor="#375623 [1609]" stroked="f"/>
        </w:pict>
      </w:r>
    </w:p>
    <w:p w14:paraId="0E8048CD" w14:textId="77777777" w:rsidR="008A7612" w:rsidRDefault="008A7612"/>
    <w:sectPr w:rsidR="008A7612" w:rsidSect="003803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B3DC" w14:textId="77777777" w:rsidR="0038035E" w:rsidRDefault="0038035E" w:rsidP="0038035E">
      <w:pPr>
        <w:spacing w:after="0" w:line="240" w:lineRule="auto"/>
      </w:pPr>
      <w:r>
        <w:separator/>
      </w:r>
    </w:p>
  </w:endnote>
  <w:endnote w:type="continuationSeparator" w:id="0">
    <w:p w14:paraId="136EEF51" w14:textId="77777777" w:rsidR="0038035E" w:rsidRDefault="0038035E" w:rsidP="0038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3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ACB56" w14:textId="77777777" w:rsidR="0038035E" w:rsidRDefault="00380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F7715E" w14:textId="77777777" w:rsidR="0038035E" w:rsidRDefault="0038035E">
    <w:pPr>
      <w:pStyle w:val="Footer"/>
    </w:pPr>
    <w:r>
      <w:t>Version 07-19-16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1ED0" w14:textId="77777777" w:rsidR="0038035E" w:rsidRDefault="0038035E" w:rsidP="0038035E">
      <w:pPr>
        <w:spacing w:after="0" w:line="240" w:lineRule="auto"/>
      </w:pPr>
      <w:r>
        <w:separator/>
      </w:r>
    </w:p>
  </w:footnote>
  <w:footnote w:type="continuationSeparator" w:id="0">
    <w:p w14:paraId="6D96BE09" w14:textId="77777777" w:rsidR="0038035E" w:rsidRDefault="0038035E" w:rsidP="0038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02C5C"/>
    <w:multiLevelType w:val="hybridMultilevel"/>
    <w:tmpl w:val="1D3014C0"/>
    <w:lvl w:ilvl="0" w:tplc="FE7C7604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85623" w:themeColor="accent6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40171F"/>
    <w:multiLevelType w:val="hybridMultilevel"/>
    <w:tmpl w:val="4E1E2C36"/>
    <w:lvl w:ilvl="0" w:tplc="6980DB70">
      <w:start w:val="1"/>
      <w:numFmt w:val="lowerLetter"/>
      <w:pStyle w:val="Heading5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5E"/>
    <w:rsid w:val="00101D8E"/>
    <w:rsid w:val="0038035E"/>
    <w:rsid w:val="008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491DFE"/>
  <w15:chartTrackingRefBased/>
  <w15:docId w15:val="{783644C0-CA3B-49D3-BC72-1BF6FF36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5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35E"/>
    <w:pPr>
      <w:keepNext/>
      <w:keepLines/>
      <w:shd w:val="clear" w:color="auto" w:fill="E2EFD9" w:themeFill="accent6" w:themeFillTint="33"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35E"/>
    <w:pPr>
      <w:keepNext/>
      <w:keepLines/>
      <w:numPr>
        <w:numId w:val="2"/>
      </w:numPr>
      <w:spacing w:before="160" w:after="12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35E"/>
    <w:pPr>
      <w:keepNext/>
      <w:keepLines/>
      <w:numPr>
        <w:numId w:val="1"/>
      </w:numPr>
      <w:spacing w:before="160" w:after="0"/>
      <w:outlineLvl w:val="4"/>
    </w:pPr>
    <w:rPr>
      <w:rFonts w:eastAsiaTheme="majorEastAsia" w:cstheme="majorBidi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35E"/>
    <w:rPr>
      <w:rFonts w:eastAsiaTheme="majorEastAsia" w:cstheme="majorBidi"/>
      <w:b/>
      <w:sz w:val="28"/>
      <w:szCs w:val="32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8035E"/>
    <w:rPr>
      <w:rFonts w:eastAsiaTheme="majorEastAsia" w:cstheme="majorBidi"/>
      <w:b/>
      <w:color w:val="385623" w:themeColor="accent6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035E"/>
    <w:rPr>
      <w:rFonts w:eastAsiaTheme="majorEastAsia" w:cstheme="majorBidi"/>
      <w:b/>
      <w:color w:val="385623" w:themeColor="accent6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3803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0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3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tsa.edu/wp-content/uploads/2014/12/IACP-Policy-013-Revision-2-reviewed-no-changes-2-12-16-Overcrowded-Mouse-Rat-Cage-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utsa.edu/research-funding/laboratory-animal-resources-center/resources/vend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Yolanda Acosta</cp:lastModifiedBy>
  <cp:revision>2</cp:revision>
  <dcterms:created xsi:type="dcterms:W3CDTF">2016-07-19T13:00:00Z</dcterms:created>
  <dcterms:modified xsi:type="dcterms:W3CDTF">2016-07-19T16:35:00Z</dcterms:modified>
</cp:coreProperties>
</file>